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D5816" w14:textId="77777777" w:rsidR="00A11853" w:rsidRDefault="00D0473E">
      <w:pPr>
        <w:spacing w:line="240" w:lineRule="auto"/>
        <w:jc w:val="center"/>
        <w:rPr>
          <w:rFonts w:ascii="Times New Roman" w:eastAsia="Times New Roman" w:hAnsi="Times New Roman" w:cs="Times New Roman"/>
          <w:sz w:val="24"/>
          <w:szCs w:val="24"/>
        </w:rPr>
      </w:pPr>
      <w:r>
        <w:rPr>
          <w:b/>
          <w:color w:val="000000"/>
          <w:sz w:val="44"/>
          <w:szCs w:val="44"/>
        </w:rPr>
        <w:t>El oscuro historial de Aes Gener en Chile: 50 años de irregularidades</w:t>
      </w:r>
    </w:p>
    <w:p w14:paraId="5A98E615" w14:textId="77777777" w:rsidR="00A11853" w:rsidRDefault="00D0473E">
      <w:pPr>
        <w:spacing w:line="240" w:lineRule="auto"/>
        <w:jc w:val="center"/>
        <w:rPr>
          <w:rFonts w:ascii="Times New Roman" w:eastAsia="Times New Roman" w:hAnsi="Times New Roman" w:cs="Times New Roman"/>
          <w:sz w:val="24"/>
          <w:szCs w:val="24"/>
        </w:rPr>
      </w:pPr>
      <w:r>
        <w:rPr>
          <w:i/>
          <w:color w:val="000000"/>
          <w:sz w:val="24"/>
          <w:szCs w:val="24"/>
        </w:rPr>
        <w:t xml:space="preserve">Aunque los habitantes de </w:t>
      </w:r>
      <w:r>
        <w:rPr>
          <w:b/>
          <w:i/>
          <w:color w:val="000000"/>
          <w:sz w:val="24"/>
          <w:szCs w:val="24"/>
        </w:rPr>
        <w:t>Zonas de Sacrificio</w:t>
      </w:r>
      <w:r>
        <w:rPr>
          <w:i/>
          <w:color w:val="000000"/>
          <w:sz w:val="24"/>
          <w:szCs w:val="24"/>
        </w:rPr>
        <w:t xml:space="preserve"> claman por el cierre de las termoeléctricas a carbón por el altísimo grado de contaminación que generan -destruyendo el medioambiente y contaminando aire y mar- la empresa AES Gener no transa: sus centrales siguen funcionando y ni luces de alguna clausura</w:t>
      </w:r>
      <w:r>
        <w:rPr>
          <w:i/>
          <w:color w:val="000000"/>
          <w:sz w:val="24"/>
          <w:szCs w:val="24"/>
        </w:rPr>
        <w:t>. Sin embargo, no sólo la campaña #ChaoCarbon exige este cierre antes del 2030, sino también movimientos ambientales, políticos, juntas de vecinos y todos los chilenas y chilenas que están muriendo lentamente en estas Zonas de Sacrificio.</w:t>
      </w:r>
    </w:p>
    <w:p w14:paraId="36BFA645" w14:textId="77777777" w:rsidR="00A11853" w:rsidRDefault="00D0473E">
      <w:pPr>
        <w:spacing w:line="240" w:lineRule="auto"/>
        <w:jc w:val="both"/>
      </w:pPr>
      <w:r>
        <w:rPr>
          <w:b/>
          <w:color w:val="000000"/>
        </w:rPr>
        <w:t>Abril 2021.-</w:t>
      </w:r>
      <w:r>
        <w:rPr>
          <w:color w:val="000000"/>
        </w:rPr>
        <w:t xml:space="preserve"> Como</w:t>
      </w:r>
      <w:r>
        <w:rPr>
          <w:color w:val="000000"/>
        </w:rPr>
        <w:t xml:space="preserve"> es bien sabido, Chile es altamente dependiente del carbón, representando un 40% de la generación eléctrica nacional, en base a termoeléctricas con capacidad instalada aproximada de 5.200 MW (al año 2018). </w:t>
      </w:r>
    </w:p>
    <w:p w14:paraId="715A7B75" w14:textId="77777777" w:rsidR="00A11853" w:rsidRDefault="00D0473E">
      <w:pPr>
        <w:spacing w:line="240" w:lineRule="auto"/>
        <w:jc w:val="both"/>
        <w:rPr>
          <w:rFonts w:ascii="Times New Roman" w:eastAsia="Times New Roman" w:hAnsi="Times New Roman" w:cs="Times New Roman"/>
          <w:sz w:val="24"/>
          <w:szCs w:val="24"/>
        </w:rPr>
      </w:pPr>
      <w:r>
        <w:rPr>
          <w:color w:val="000000"/>
        </w:rPr>
        <w:t>Pero hay una realidad que va mucho más allá de lo</w:t>
      </w:r>
      <w:r>
        <w:rPr>
          <w:color w:val="000000"/>
        </w:rPr>
        <w:t xml:space="preserve">s números de megawatt o porcentajes de generación eléctrica. Y es que las carboneras han generado con carbón no sólo electricidad, sino también </w:t>
      </w:r>
      <w:r>
        <w:rPr>
          <w:b/>
          <w:color w:val="000000"/>
        </w:rPr>
        <w:t>ZONAS DE SACRIFICIO</w:t>
      </w:r>
      <w:r>
        <w:rPr>
          <w:color w:val="000000"/>
        </w:rPr>
        <w:t>. Así, las termoeléctricas están localizadas en ciudades que superan constantemente (casi a d</w:t>
      </w:r>
      <w:r>
        <w:rPr>
          <w:color w:val="000000"/>
        </w:rPr>
        <w:t>iario) las normas de emisión de contaminantes atmosféricos, lo que provoca graves enfermedades en sus habitantes (desde niños a ancianos)</w:t>
      </w:r>
    </w:p>
    <w:p w14:paraId="373F21E7" w14:textId="77777777" w:rsidR="00A11853" w:rsidRDefault="00D0473E">
      <w:pPr>
        <w:spacing w:line="240" w:lineRule="auto"/>
        <w:jc w:val="both"/>
        <w:rPr>
          <w:rFonts w:ascii="Times New Roman" w:eastAsia="Times New Roman" w:hAnsi="Times New Roman" w:cs="Times New Roman"/>
          <w:sz w:val="24"/>
          <w:szCs w:val="24"/>
        </w:rPr>
      </w:pPr>
      <w:r>
        <w:rPr>
          <w:color w:val="000000"/>
        </w:rPr>
        <w:t>Por lo mismo, es necesario contar con información relevante como quiénes son los propietarios de estas empresas altame</w:t>
      </w:r>
      <w:r>
        <w:rPr>
          <w:color w:val="000000"/>
        </w:rPr>
        <w:t>nte contaminantes, apareciendo como la empresa con más centrales la norteamericana AES-Gener, con 15 unidades. Empresa que tiene unidades t</w:t>
      </w:r>
      <w:r>
        <w:t>ermoeléctricas que</w:t>
      </w:r>
      <w:r>
        <w:rPr>
          <w:color w:val="000000"/>
        </w:rPr>
        <w:t xml:space="preserve"> llevan más de 50 años operando y que ha llevado a cabo más de una irregularidad para zafar del cie</w:t>
      </w:r>
      <w:r>
        <w:rPr>
          <w:color w:val="000000"/>
        </w:rPr>
        <w:t>rre total de sus 15 termoeléctricas.</w:t>
      </w:r>
    </w:p>
    <w:p w14:paraId="0C047210" w14:textId="77777777" w:rsidR="00A11853" w:rsidRDefault="00D0473E">
      <w:pPr>
        <w:spacing w:line="240" w:lineRule="auto"/>
        <w:jc w:val="both"/>
        <w:rPr>
          <w:color w:val="000000"/>
        </w:rPr>
      </w:pPr>
      <w:r>
        <w:rPr>
          <w:color w:val="000000"/>
          <w:highlight w:val="white"/>
        </w:rPr>
        <w:t>En este sentido, la coalición Chao Carbón ha exigido que AES Gener entregue lo antes posible el cronograma de cierre de todas sus centrales antes del 2030.</w:t>
      </w:r>
    </w:p>
    <w:p w14:paraId="21988CCE" w14:textId="77777777" w:rsidR="00A11853" w:rsidRDefault="00D0473E">
      <w:pPr>
        <w:spacing w:line="240" w:lineRule="auto"/>
        <w:jc w:val="both"/>
        <w:rPr>
          <w:rFonts w:ascii="Times New Roman" w:eastAsia="Times New Roman" w:hAnsi="Times New Roman" w:cs="Times New Roman"/>
          <w:sz w:val="24"/>
          <w:szCs w:val="24"/>
        </w:rPr>
      </w:pPr>
      <w:r>
        <w:rPr>
          <w:b/>
          <w:color w:val="000000"/>
          <w:sz w:val="24"/>
          <w:szCs w:val="24"/>
        </w:rPr>
        <w:t>La lista negra de irregularidades de AES GENER en Chile</w:t>
      </w:r>
    </w:p>
    <w:p w14:paraId="745E8F21" w14:textId="77777777" w:rsidR="00A11853" w:rsidRDefault="00D0473E">
      <w:pPr>
        <w:spacing w:line="240" w:lineRule="auto"/>
        <w:jc w:val="both"/>
        <w:rPr>
          <w:rFonts w:ascii="Times New Roman" w:eastAsia="Times New Roman" w:hAnsi="Times New Roman" w:cs="Times New Roman"/>
          <w:sz w:val="24"/>
          <w:szCs w:val="24"/>
        </w:rPr>
      </w:pPr>
      <w:r>
        <w:rPr>
          <w:color w:val="000000"/>
        </w:rPr>
        <w:t>Cabe en</w:t>
      </w:r>
      <w:r>
        <w:rPr>
          <w:color w:val="000000"/>
        </w:rPr>
        <w:t>tonces recopilar el triste historial de esta empresa, para perjuicio de los y las habitantes de las ciudades aledañas. Resulta ser un espantoso repaso, ya que no se ven atisbos de empatía o sensibilidad frente a esta realidad de Zonas de Sacrificio.</w:t>
      </w:r>
    </w:p>
    <w:p w14:paraId="6AA5CC16" w14:textId="77777777" w:rsidR="00A11853" w:rsidRDefault="00D0473E">
      <w:pPr>
        <w:spacing w:line="240" w:lineRule="auto"/>
        <w:jc w:val="both"/>
        <w:rPr>
          <w:rFonts w:ascii="Times New Roman" w:eastAsia="Times New Roman" w:hAnsi="Times New Roman" w:cs="Times New Roman"/>
          <w:sz w:val="24"/>
          <w:szCs w:val="24"/>
        </w:rPr>
      </w:pPr>
      <w:r>
        <w:rPr>
          <w:b/>
          <w:color w:val="000000"/>
          <w:sz w:val="24"/>
          <w:szCs w:val="24"/>
        </w:rPr>
        <w:t>Puchun</w:t>
      </w:r>
      <w:r>
        <w:rPr>
          <w:b/>
          <w:color w:val="000000"/>
          <w:sz w:val="24"/>
          <w:szCs w:val="24"/>
        </w:rPr>
        <w:t>caví y Huasco</w:t>
      </w:r>
    </w:p>
    <w:p w14:paraId="759365CB" w14:textId="77777777" w:rsidR="00A11853" w:rsidRDefault="00D0473E">
      <w:pPr>
        <w:numPr>
          <w:ilvl w:val="0"/>
          <w:numId w:val="2"/>
        </w:numPr>
        <w:spacing w:after="0" w:line="240" w:lineRule="auto"/>
        <w:jc w:val="both"/>
        <w:rPr>
          <w:rFonts w:ascii="Arial" w:eastAsia="Arial" w:hAnsi="Arial" w:cs="Arial"/>
          <w:color w:val="000000"/>
        </w:rPr>
      </w:pPr>
      <w:r>
        <w:rPr>
          <w:color w:val="000000"/>
        </w:rPr>
        <w:t>2011. Escuela La Greda reporta 31 estudiantes y 12 adultos intoxicados por SO2. El jueves 24 de noviembre de ese año, la clase de educación física terminó antes de lo previsto en la Escuela La Greda. Eran las 10 hrs. cuando esa nube de humo t</w:t>
      </w:r>
      <w:r>
        <w:rPr>
          <w:color w:val="000000"/>
        </w:rPr>
        <w:t>óxica con dióxido de azufre (SO2), invadió el establecimiento. Bastó que la respiraran sólo unos minutos para que 31 estudiantes y 12 adultos sufrieran los efectos: picazón, vómitos e indigestión.</w:t>
      </w:r>
    </w:p>
    <w:p w14:paraId="32B51BFA" w14:textId="77777777" w:rsidR="00A11853" w:rsidRDefault="00A11853">
      <w:pPr>
        <w:spacing w:after="0" w:line="240" w:lineRule="auto"/>
        <w:ind w:left="720"/>
        <w:jc w:val="both"/>
      </w:pPr>
    </w:p>
    <w:p w14:paraId="68FF09C7" w14:textId="77777777" w:rsidR="00A11853" w:rsidRDefault="00D0473E">
      <w:pPr>
        <w:numPr>
          <w:ilvl w:val="0"/>
          <w:numId w:val="2"/>
        </w:numPr>
        <w:spacing w:after="0" w:line="240" w:lineRule="auto"/>
        <w:jc w:val="both"/>
        <w:rPr>
          <w:rFonts w:ascii="Arial" w:eastAsia="Arial" w:hAnsi="Arial" w:cs="Arial"/>
          <w:color w:val="000000"/>
        </w:rPr>
      </w:pPr>
      <w:r>
        <w:rPr>
          <w:color w:val="000000"/>
        </w:rPr>
        <w:t>2013. Se descubre la presencia de arsénico en la sangre de</w:t>
      </w:r>
      <w:r>
        <w:rPr>
          <w:color w:val="000000"/>
        </w:rPr>
        <w:t xml:space="preserve"> los intoxicados, generando el cierre de la escuela.</w:t>
      </w:r>
    </w:p>
    <w:p w14:paraId="1B270DD5" w14:textId="77777777" w:rsidR="00A11853" w:rsidRDefault="00D0473E">
      <w:pPr>
        <w:numPr>
          <w:ilvl w:val="0"/>
          <w:numId w:val="2"/>
        </w:numPr>
        <w:spacing w:after="0" w:line="240" w:lineRule="auto"/>
        <w:jc w:val="both"/>
        <w:rPr>
          <w:b/>
          <w:color w:val="000000"/>
        </w:rPr>
      </w:pPr>
      <w:r>
        <w:rPr>
          <w:color w:val="000000"/>
        </w:rPr>
        <w:lastRenderedPageBreak/>
        <w:t xml:space="preserve">2018. Según fuentes de prensa de la época, hubo </w:t>
      </w:r>
      <w:r>
        <w:rPr>
          <w:b/>
          <w:color w:val="000000"/>
        </w:rPr>
        <w:t>más de 1.300 personas con síntomas de intoxicación entre agosto y octubre.</w:t>
      </w:r>
    </w:p>
    <w:p w14:paraId="444A657E" w14:textId="77777777" w:rsidR="00A11853" w:rsidRDefault="00A11853">
      <w:pPr>
        <w:spacing w:after="0" w:line="240" w:lineRule="auto"/>
        <w:ind w:left="720"/>
        <w:jc w:val="both"/>
        <w:rPr>
          <w:b/>
        </w:rPr>
      </w:pPr>
    </w:p>
    <w:p w14:paraId="752466B1" w14:textId="77777777" w:rsidR="00A11853" w:rsidRDefault="00D0473E">
      <w:pPr>
        <w:numPr>
          <w:ilvl w:val="0"/>
          <w:numId w:val="2"/>
        </w:numPr>
        <w:spacing w:line="240" w:lineRule="auto"/>
        <w:jc w:val="both"/>
        <w:rPr>
          <w:rFonts w:ascii="Arial" w:eastAsia="Arial" w:hAnsi="Arial" w:cs="Arial"/>
          <w:color w:val="000000"/>
        </w:rPr>
      </w:pPr>
      <w:r>
        <w:rPr>
          <w:color w:val="000000"/>
        </w:rPr>
        <w:t xml:space="preserve">2019: </w:t>
      </w:r>
      <w:r>
        <w:rPr>
          <w:b/>
          <w:color w:val="000000"/>
        </w:rPr>
        <w:t>SMA formula cargos contra termoeléctrica de Aes Gener</w:t>
      </w:r>
      <w:r>
        <w:rPr>
          <w:color w:val="000000"/>
        </w:rPr>
        <w:t xml:space="preserve"> por no reducir las operaciones en días críticos de contaminación, superando los niveles máximos de presión sonora y la transgresión de límites de descargas de residuos al mar.</w:t>
      </w:r>
    </w:p>
    <w:p w14:paraId="10847EED" w14:textId="77777777" w:rsidR="00A11853" w:rsidRDefault="00D0473E">
      <w:pPr>
        <w:numPr>
          <w:ilvl w:val="0"/>
          <w:numId w:val="2"/>
        </w:numPr>
        <w:spacing w:line="240" w:lineRule="auto"/>
        <w:jc w:val="both"/>
        <w:rPr>
          <w:rFonts w:ascii="Arial" w:eastAsia="Arial" w:hAnsi="Arial" w:cs="Arial"/>
          <w:color w:val="000000"/>
        </w:rPr>
      </w:pPr>
      <w:r>
        <w:rPr>
          <w:color w:val="000000"/>
          <w:sz w:val="24"/>
          <w:szCs w:val="24"/>
        </w:rPr>
        <w:t xml:space="preserve">En Huasco, se detectó el </w:t>
      </w:r>
      <w:r>
        <w:rPr>
          <w:color w:val="000000"/>
        </w:rPr>
        <w:t>u</w:t>
      </w:r>
      <w:r>
        <w:rPr>
          <w:color w:val="000000"/>
        </w:rPr>
        <w:t>so de petcoke (sólido carbonoso derivado de las unidades de coquización en una refinería de carbón o de otros procesos de craqueo)</w:t>
      </w:r>
    </w:p>
    <w:p w14:paraId="46060FDB" w14:textId="77777777" w:rsidR="00A11853" w:rsidRDefault="00D0473E">
      <w:pPr>
        <w:numPr>
          <w:ilvl w:val="0"/>
          <w:numId w:val="3"/>
        </w:numPr>
        <w:spacing w:after="0" w:line="240" w:lineRule="auto"/>
        <w:jc w:val="both"/>
        <w:rPr>
          <w:rFonts w:ascii="Arial" w:eastAsia="Arial" w:hAnsi="Arial" w:cs="Arial"/>
          <w:color w:val="000000"/>
        </w:rPr>
      </w:pPr>
      <w:r>
        <w:rPr>
          <w:color w:val="000000"/>
        </w:rPr>
        <w:t xml:space="preserve">Un estudio de la Escuela de Salud Pública de la Universidad de Chile de octubre de 2005 reveló que la concentración promedio </w:t>
      </w:r>
      <w:r>
        <w:rPr>
          <w:color w:val="000000"/>
        </w:rPr>
        <w:t>de níquel en Huasco era de 50,1 Ng/m3, alcanzado máximos de 1.310 Ng/m3. </w:t>
      </w:r>
    </w:p>
    <w:p w14:paraId="719B2284" w14:textId="77777777" w:rsidR="00A11853" w:rsidRDefault="00A11853">
      <w:pPr>
        <w:spacing w:after="0" w:line="240" w:lineRule="auto"/>
        <w:rPr>
          <w:rFonts w:ascii="Times New Roman" w:eastAsia="Times New Roman" w:hAnsi="Times New Roman" w:cs="Times New Roman"/>
          <w:sz w:val="24"/>
          <w:szCs w:val="24"/>
        </w:rPr>
      </w:pPr>
    </w:p>
    <w:p w14:paraId="6788199D" w14:textId="77777777" w:rsidR="00A11853" w:rsidRDefault="00D0473E">
      <w:pPr>
        <w:spacing w:line="240" w:lineRule="auto"/>
        <w:jc w:val="both"/>
        <w:rPr>
          <w:rFonts w:ascii="Times New Roman" w:eastAsia="Times New Roman" w:hAnsi="Times New Roman" w:cs="Times New Roman"/>
          <w:sz w:val="24"/>
          <w:szCs w:val="24"/>
        </w:rPr>
      </w:pPr>
      <w:r>
        <w:rPr>
          <w:b/>
          <w:color w:val="000000"/>
          <w:sz w:val="24"/>
          <w:szCs w:val="24"/>
        </w:rPr>
        <w:t>Varamientos </w:t>
      </w:r>
    </w:p>
    <w:p w14:paraId="6B4B7905" w14:textId="77777777" w:rsidR="00A11853" w:rsidRDefault="00D0473E">
      <w:pPr>
        <w:spacing w:line="240" w:lineRule="auto"/>
        <w:jc w:val="both"/>
        <w:rPr>
          <w:rFonts w:ascii="Times New Roman" w:eastAsia="Times New Roman" w:hAnsi="Times New Roman" w:cs="Times New Roman"/>
          <w:sz w:val="24"/>
          <w:szCs w:val="24"/>
        </w:rPr>
      </w:pPr>
      <w:r>
        <w:rPr>
          <w:color w:val="000000"/>
        </w:rPr>
        <w:t>En total, se han registrado más de 712 varamientos de carbón entre 2009 y 2019 en el borde costero de Puchuncavi - Quintero, siendo la frecuencia en ese último año de u</w:t>
      </w:r>
      <w:r>
        <w:rPr>
          <w:color w:val="000000"/>
        </w:rPr>
        <w:t>n evento cada dos días, dependiendo de las condiciones del mar. </w:t>
      </w:r>
    </w:p>
    <w:p w14:paraId="496E9E9D" w14:textId="77777777" w:rsidR="00A11853" w:rsidRDefault="00D0473E">
      <w:pPr>
        <w:spacing w:line="240" w:lineRule="auto"/>
        <w:jc w:val="both"/>
        <w:rPr>
          <w:rFonts w:ascii="Times New Roman" w:eastAsia="Times New Roman" w:hAnsi="Times New Roman" w:cs="Times New Roman"/>
          <w:sz w:val="24"/>
          <w:szCs w:val="24"/>
        </w:rPr>
      </w:pPr>
      <w:r>
        <w:rPr>
          <w:b/>
          <w:color w:val="000000"/>
          <w:sz w:val="24"/>
          <w:szCs w:val="24"/>
        </w:rPr>
        <w:t>Aprobación Irregular de Campiche:</w:t>
      </w:r>
    </w:p>
    <w:p w14:paraId="33C7D928" w14:textId="77777777" w:rsidR="00A11853" w:rsidRDefault="00D0473E">
      <w:pPr>
        <w:numPr>
          <w:ilvl w:val="0"/>
          <w:numId w:val="4"/>
        </w:numPr>
        <w:spacing w:after="0" w:line="240" w:lineRule="auto"/>
        <w:jc w:val="both"/>
        <w:rPr>
          <w:rFonts w:ascii="Arial" w:eastAsia="Arial" w:hAnsi="Arial" w:cs="Arial"/>
          <w:color w:val="000000"/>
        </w:rPr>
      </w:pPr>
      <w:r>
        <w:rPr>
          <w:color w:val="000000"/>
        </w:rPr>
        <w:t>Información detectada por Wikileaks, y replicada en Chile por Ciper, dejó en claro que hubo gestiones internacionales para posibilitar</w:t>
      </w:r>
      <w:r>
        <w:rPr>
          <w:b/>
          <w:color w:val="000000"/>
        </w:rPr>
        <w:t xml:space="preserve"> </w:t>
      </w:r>
      <w:r>
        <w:rPr>
          <w:color w:val="000000"/>
        </w:rPr>
        <w:t xml:space="preserve">la instalación de la termoeléctrica Central Campiche (perteneciente a AES Gener) en un </w:t>
      </w:r>
      <w:r>
        <w:rPr>
          <w:b/>
          <w:color w:val="000000"/>
        </w:rPr>
        <w:t xml:space="preserve">predio de áreas verdes </w:t>
      </w:r>
      <w:r>
        <w:rPr>
          <w:color w:val="000000"/>
        </w:rPr>
        <w:t xml:space="preserve">que, según </w:t>
      </w:r>
      <w:r>
        <w:rPr>
          <w:color w:val="000000"/>
        </w:rPr>
        <w:t>el ordenamiento territorial respectivo, no admitía el emplazamiento de esa industria. </w:t>
      </w:r>
    </w:p>
    <w:p w14:paraId="14E2B17F" w14:textId="77777777" w:rsidR="00A11853" w:rsidRDefault="00A11853">
      <w:pPr>
        <w:spacing w:after="0" w:line="240" w:lineRule="auto"/>
        <w:ind w:left="720"/>
        <w:jc w:val="both"/>
      </w:pPr>
    </w:p>
    <w:p w14:paraId="57C00012" w14:textId="77777777" w:rsidR="00A11853" w:rsidRDefault="00D0473E">
      <w:pPr>
        <w:numPr>
          <w:ilvl w:val="0"/>
          <w:numId w:val="4"/>
        </w:numPr>
        <w:spacing w:line="240" w:lineRule="auto"/>
        <w:jc w:val="both"/>
        <w:rPr>
          <w:rFonts w:ascii="Arial" w:eastAsia="Arial" w:hAnsi="Arial" w:cs="Arial"/>
          <w:color w:val="000000"/>
        </w:rPr>
      </w:pPr>
      <w:r>
        <w:rPr>
          <w:color w:val="000000"/>
        </w:rPr>
        <w:t>Así, los cables de wikileaks revelaron gestiones entre AES Gener y el gobierno de Michelle Bachelet para destrabar el proyecto, dejando en evidencia las presiones empre</w:t>
      </w:r>
      <w:r>
        <w:rPr>
          <w:color w:val="000000"/>
        </w:rPr>
        <w:t>sariales y de gobiernos extranjeros para dar luz verde a proyectos que en ninguna parte del mundo serían aprobados.</w:t>
      </w:r>
    </w:p>
    <w:p w14:paraId="7BCF8F72" w14:textId="77777777" w:rsidR="00A11853" w:rsidRDefault="00D0473E">
      <w:pPr>
        <w:spacing w:line="240" w:lineRule="auto"/>
        <w:jc w:val="both"/>
        <w:rPr>
          <w:rFonts w:ascii="Times New Roman" w:eastAsia="Times New Roman" w:hAnsi="Times New Roman" w:cs="Times New Roman"/>
          <w:sz w:val="24"/>
          <w:szCs w:val="24"/>
        </w:rPr>
      </w:pPr>
      <w:r>
        <w:rPr>
          <w:b/>
          <w:color w:val="000000"/>
          <w:sz w:val="24"/>
          <w:szCs w:val="24"/>
        </w:rPr>
        <w:t>Irregularidades de Guacolda</w:t>
      </w:r>
    </w:p>
    <w:p w14:paraId="64BF119B" w14:textId="77777777" w:rsidR="00A11853" w:rsidRDefault="00D0473E">
      <w:pPr>
        <w:spacing w:line="240" w:lineRule="auto"/>
        <w:jc w:val="both"/>
        <w:rPr>
          <w:rFonts w:ascii="Times New Roman" w:eastAsia="Times New Roman" w:hAnsi="Times New Roman" w:cs="Times New Roman"/>
          <w:sz w:val="24"/>
          <w:szCs w:val="24"/>
        </w:rPr>
      </w:pPr>
      <w:r>
        <w:rPr>
          <w:color w:val="000000"/>
        </w:rPr>
        <w:t>A todo esto, se suma que el 2016 otras empresas generadoras denunciaron que la central Guacolda de AES GENER ent</w:t>
      </w:r>
      <w:r>
        <w:rPr>
          <w:color w:val="000000"/>
        </w:rPr>
        <w:t xml:space="preserve">regaba de forma incorrecta sus valores de mínimo técnico (cantidad de horas de funcionamiento, mantención y tiempos de operación). Esto quiere decir que la empresa </w:t>
      </w:r>
      <w:r>
        <w:rPr>
          <w:b/>
          <w:color w:val="000000"/>
        </w:rPr>
        <w:t>no informó los valores exactos de la potencia activa bruta mínima que una unidad puede gener</w:t>
      </w:r>
      <w:r>
        <w:rPr>
          <w:b/>
          <w:color w:val="000000"/>
        </w:rPr>
        <w:t>ar</w:t>
      </w:r>
      <w:r>
        <w:rPr>
          <w:color w:val="000000"/>
        </w:rPr>
        <w:t>. Esto hizo que el año 2018 la SEC levantara cargos contra Guacolda S.A., multándola con $3.200 millones por incumplir la normativa relacionada con los mínimos técnicos de operación.</w:t>
      </w:r>
    </w:p>
    <w:p w14:paraId="111357A1" w14:textId="77777777" w:rsidR="00A11853" w:rsidRDefault="00D0473E">
      <w:pPr>
        <w:spacing w:line="240" w:lineRule="auto"/>
        <w:rPr>
          <w:rFonts w:ascii="Times New Roman" w:eastAsia="Times New Roman" w:hAnsi="Times New Roman" w:cs="Times New Roman"/>
          <w:sz w:val="24"/>
          <w:szCs w:val="24"/>
        </w:rPr>
      </w:pPr>
      <w:r>
        <w:rPr>
          <w:b/>
          <w:color w:val="000000"/>
          <w:sz w:val="24"/>
          <w:szCs w:val="24"/>
        </w:rPr>
        <w:t>Campaña en redes sociales durante la pandemia</w:t>
      </w:r>
    </w:p>
    <w:p w14:paraId="2E1579AE" w14:textId="77777777" w:rsidR="00A11853" w:rsidRDefault="00D0473E">
      <w:pPr>
        <w:spacing w:line="240" w:lineRule="auto"/>
        <w:jc w:val="both"/>
        <w:rPr>
          <w:rFonts w:ascii="Times New Roman" w:eastAsia="Times New Roman" w:hAnsi="Times New Roman" w:cs="Times New Roman"/>
          <w:sz w:val="24"/>
          <w:szCs w:val="24"/>
        </w:rPr>
      </w:pPr>
      <w:r>
        <w:rPr>
          <w:color w:val="000000"/>
        </w:rPr>
        <w:t>En marzo de 2020, la empr</w:t>
      </w:r>
      <w:r>
        <w:rPr>
          <w:color w:val="000000"/>
        </w:rPr>
        <w:t>esa realizó una campaña en Twitter llamada “Los héroes de AES” mostrándose como salvadores en tiempos de crisis sanitaria. Sin embargo, movimientos socioambientales de Huasco denunciaron que, durante la pandemia, AES GENER, en vez de disminuir su producció</w:t>
      </w:r>
      <w:r>
        <w:rPr>
          <w:color w:val="000000"/>
        </w:rPr>
        <w:t xml:space="preserve">n, </w:t>
      </w:r>
      <w:r>
        <w:rPr>
          <w:b/>
          <w:color w:val="000000"/>
        </w:rPr>
        <w:t>la elevó aún más</w:t>
      </w:r>
      <w:r>
        <w:rPr>
          <w:color w:val="000000"/>
        </w:rPr>
        <w:t>, mientras aprovechaban de lavar su imagen repartiendo mascarillas a la comunidad.</w:t>
      </w:r>
    </w:p>
    <w:p w14:paraId="08E9D8EA" w14:textId="77777777" w:rsidR="00A11853" w:rsidRDefault="00A11853">
      <w:pPr>
        <w:spacing w:line="240" w:lineRule="auto"/>
        <w:rPr>
          <w:b/>
          <w:sz w:val="26"/>
          <w:szCs w:val="26"/>
        </w:rPr>
      </w:pPr>
    </w:p>
    <w:p w14:paraId="0E332E2D" w14:textId="77777777" w:rsidR="00A11853" w:rsidRDefault="00D0473E">
      <w:pPr>
        <w:spacing w:line="240" w:lineRule="auto"/>
        <w:rPr>
          <w:rFonts w:ascii="Times New Roman" w:eastAsia="Times New Roman" w:hAnsi="Times New Roman" w:cs="Times New Roman"/>
          <w:sz w:val="24"/>
          <w:szCs w:val="24"/>
        </w:rPr>
      </w:pPr>
      <w:r>
        <w:rPr>
          <w:b/>
          <w:color w:val="000000"/>
          <w:sz w:val="26"/>
          <w:szCs w:val="26"/>
        </w:rPr>
        <w:t>Hidroeléctrica Alto Maipo</w:t>
      </w:r>
    </w:p>
    <w:p w14:paraId="5C7F2B6B" w14:textId="77777777" w:rsidR="00A11853" w:rsidRDefault="00D0473E">
      <w:pPr>
        <w:spacing w:line="240" w:lineRule="auto"/>
        <w:jc w:val="both"/>
        <w:rPr>
          <w:rFonts w:ascii="Times New Roman" w:eastAsia="Times New Roman" w:hAnsi="Times New Roman" w:cs="Times New Roman"/>
          <w:sz w:val="24"/>
          <w:szCs w:val="24"/>
        </w:rPr>
      </w:pPr>
      <w:r>
        <w:rPr>
          <w:color w:val="000000"/>
        </w:rPr>
        <w:t>El Proyecto Hidroeléctrico Alto Maipo fue desarrollado por AES Gener en Chile y presentado a la autoridad ambiental para revisión el año 2007. El costo de inversión del proyecto al momento de evaluación alcanzó los US$D 600 millones. A la fecha, este costo</w:t>
      </w:r>
      <w:r>
        <w:rPr>
          <w:color w:val="000000"/>
        </w:rPr>
        <w:t xml:space="preserve"> alcanza a USD$1.800 millones. </w:t>
      </w:r>
    </w:p>
    <w:p w14:paraId="15B1951F" w14:textId="77777777" w:rsidR="00A11853" w:rsidRDefault="00D0473E">
      <w:pPr>
        <w:spacing w:line="240" w:lineRule="auto"/>
        <w:jc w:val="both"/>
        <w:rPr>
          <w:rFonts w:ascii="Times New Roman" w:eastAsia="Times New Roman" w:hAnsi="Times New Roman" w:cs="Times New Roman"/>
          <w:sz w:val="24"/>
          <w:szCs w:val="24"/>
        </w:rPr>
      </w:pPr>
      <w:r>
        <w:rPr>
          <w:color w:val="000000"/>
        </w:rPr>
        <w:t>Es bien sabido que el proyecto ha sido públicamente cuestionado, sobre todo por la amenaza de la provisión de agua potable para Santiago. AES Gener adquirió las aguas de varios esteros y ríos cristalinos del cajón del Maipo,</w:t>
      </w:r>
      <w:r>
        <w:rPr>
          <w:color w:val="000000"/>
        </w:rPr>
        <w:t xml:space="preserve"> que constituyen reservas naturales de agua limpia para la capital. Esas aguas fueron adquiridas al amparo del Código de Aguas, para operar el proyecto Alto Maipo. </w:t>
      </w:r>
    </w:p>
    <w:p w14:paraId="58B2734B" w14:textId="77777777" w:rsidR="00A11853" w:rsidRDefault="00D0473E">
      <w:pPr>
        <w:spacing w:line="240" w:lineRule="auto"/>
        <w:rPr>
          <w:rFonts w:ascii="Times New Roman" w:eastAsia="Times New Roman" w:hAnsi="Times New Roman" w:cs="Times New Roman"/>
          <w:sz w:val="24"/>
          <w:szCs w:val="24"/>
        </w:rPr>
      </w:pPr>
      <w:r>
        <w:rPr>
          <w:b/>
          <w:color w:val="000000"/>
          <w:sz w:val="24"/>
          <w:szCs w:val="24"/>
        </w:rPr>
        <w:t>POLÉMICA VENTA</w:t>
      </w:r>
    </w:p>
    <w:p w14:paraId="50FDE474" w14:textId="77777777" w:rsidR="00A11853" w:rsidRDefault="00D0473E">
      <w:pPr>
        <w:spacing w:line="240" w:lineRule="auto"/>
        <w:jc w:val="both"/>
        <w:rPr>
          <w:rFonts w:ascii="Times New Roman" w:eastAsia="Times New Roman" w:hAnsi="Times New Roman" w:cs="Times New Roman"/>
          <w:sz w:val="24"/>
          <w:szCs w:val="24"/>
        </w:rPr>
      </w:pPr>
      <w:r>
        <w:rPr>
          <w:color w:val="000000"/>
        </w:rPr>
        <w:t>Finalmente, durante febrero pasado, se anunció la venta, por parte de Aes Ge</w:t>
      </w:r>
      <w:r>
        <w:rPr>
          <w:color w:val="000000"/>
        </w:rPr>
        <w:t xml:space="preserve">ner, de las 5 unidades termoeléctricas a carbón del complejo Guacolda al grupo chileno </w:t>
      </w:r>
      <w:r>
        <w:rPr>
          <w:b/>
          <w:color w:val="000000"/>
        </w:rPr>
        <w:t>WEG Capitals</w:t>
      </w:r>
      <w:r>
        <w:rPr>
          <w:color w:val="000000"/>
        </w:rPr>
        <w:t>, poniendo en grave riesgo el cronograma de descarbonización de nuestro país. </w:t>
      </w:r>
    </w:p>
    <w:p w14:paraId="373218AC" w14:textId="77777777" w:rsidR="00A11853" w:rsidRDefault="00D0473E">
      <w:pPr>
        <w:spacing w:line="240" w:lineRule="auto"/>
        <w:jc w:val="both"/>
        <w:rPr>
          <w:rFonts w:ascii="Times New Roman" w:eastAsia="Times New Roman" w:hAnsi="Times New Roman" w:cs="Times New Roman"/>
          <w:sz w:val="24"/>
          <w:szCs w:val="24"/>
        </w:rPr>
      </w:pPr>
      <w:r>
        <w:rPr>
          <w:color w:val="000000"/>
        </w:rPr>
        <w:t>AES Gener afirmó que esta venta le permitiría avanzar en limpiar su portafolio</w:t>
      </w:r>
      <w:r>
        <w:rPr>
          <w:color w:val="000000"/>
        </w:rPr>
        <w:t xml:space="preserve"> de proyectos. “Esto va contra su compromiso con el Estado de Chile de descarbonización total de sus proyectos de generación al 2040; pues dicha venta se realiza a inversionistas que no fueron partícipe del acuerdo de descarbonización del año 2019”, explic</w:t>
      </w:r>
      <w:r>
        <w:rPr>
          <w:color w:val="000000"/>
        </w:rPr>
        <w:t>an desde la coalición Chao Carbón.</w:t>
      </w:r>
    </w:p>
    <w:p w14:paraId="17E952DB" w14:textId="77777777" w:rsidR="00A11853" w:rsidRDefault="00D0473E">
      <w:pPr>
        <w:spacing w:line="240" w:lineRule="auto"/>
        <w:jc w:val="both"/>
        <w:rPr>
          <w:rFonts w:ascii="Times New Roman" w:eastAsia="Times New Roman" w:hAnsi="Times New Roman" w:cs="Times New Roman"/>
          <w:sz w:val="24"/>
          <w:szCs w:val="24"/>
        </w:rPr>
      </w:pPr>
      <w:r>
        <w:rPr>
          <w:color w:val="000000"/>
        </w:rPr>
        <w:t>Y agregan que “como Coalición, rechazamos enérgicamente la venta de sus acciones y condenamos la fórmula tramposa de AES Gener para limpiar su portafolio de proyectos, perpetuando la incertidumbre sobre las fechas de cier</w:t>
      </w:r>
      <w:r>
        <w:rPr>
          <w:color w:val="000000"/>
        </w:rPr>
        <w:t>re de las termoeléctricas. A su vez, esta venta no exime de la responsabilidad legal que tiene la empresa tras largos años de contaminación en la zona”.</w:t>
      </w:r>
    </w:p>
    <w:p w14:paraId="6D1C6343" w14:textId="4A2DF8E1" w:rsidR="00A11853" w:rsidRDefault="00A11853">
      <w:pPr>
        <w:spacing w:after="240" w:line="240" w:lineRule="auto"/>
        <w:rPr>
          <w:color w:val="000000"/>
        </w:rPr>
      </w:pPr>
    </w:p>
    <w:p w14:paraId="7518FB05" w14:textId="77777777" w:rsidR="00A11853" w:rsidRDefault="00D0473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 xml:space="preserve">Para revisar el Clipping de Prensa histórico sobre las irregularidades de AES Gener en Chile, ingresa a: </w:t>
      </w:r>
      <w:r>
        <w:rPr>
          <w:sz w:val="20"/>
          <w:szCs w:val="20"/>
        </w:rPr>
        <w:t>https://chaocarbon.cl/2021/04/06/clipping-historico-de-prensa-de-aes-gener-en-chile/</w:t>
      </w:r>
    </w:p>
    <w:p w14:paraId="5A62EE6B" w14:textId="77777777" w:rsidR="00A11853" w:rsidRDefault="00A11853">
      <w:pPr>
        <w:pBdr>
          <w:top w:val="nil"/>
          <w:left w:val="nil"/>
          <w:bottom w:val="nil"/>
          <w:right w:val="nil"/>
          <w:between w:val="nil"/>
        </w:pBdr>
        <w:spacing w:after="0" w:line="240" w:lineRule="auto"/>
        <w:ind w:left="720"/>
        <w:rPr>
          <w:sz w:val="20"/>
          <w:szCs w:val="20"/>
        </w:rPr>
      </w:pPr>
    </w:p>
    <w:p w14:paraId="2061659A" w14:textId="77777777" w:rsidR="00A11853" w:rsidRDefault="00D0473E">
      <w:pPr>
        <w:numPr>
          <w:ilvl w:val="0"/>
          <w:numId w:val="1"/>
        </w:numPr>
        <w:pBdr>
          <w:top w:val="nil"/>
          <w:left w:val="nil"/>
          <w:bottom w:val="nil"/>
          <w:right w:val="nil"/>
          <w:between w:val="nil"/>
        </w:pBdr>
        <w:spacing w:after="0" w:line="240" w:lineRule="auto"/>
        <w:rPr>
          <w:color w:val="000000"/>
          <w:sz w:val="20"/>
          <w:szCs w:val="20"/>
        </w:rPr>
      </w:pPr>
      <w:r>
        <w:rPr>
          <w:color w:val="000000"/>
          <w:sz w:val="20"/>
          <w:szCs w:val="20"/>
        </w:rPr>
        <w:t>Para firmar la petición de cerrar las Termoeléctricas en Chile an</w:t>
      </w:r>
      <w:r>
        <w:rPr>
          <w:color w:val="000000"/>
          <w:sz w:val="20"/>
          <w:szCs w:val="20"/>
        </w:rPr>
        <w:t xml:space="preserve">tes del 2030, ingresa a </w:t>
      </w:r>
      <w:hyperlink r:id="rId8">
        <w:r>
          <w:rPr>
            <w:color w:val="0000FF"/>
            <w:sz w:val="20"/>
            <w:szCs w:val="20"/>
            <w:u w:val="single"/>
          </w:rPr>
          <w:t>www.chaocarbon.cl/peticion</w:t>
        </w:r>
      </w:hyperlink>
      <w:r>
        <w:rPr>
          <w:color w:val="000000"/>
          <w:sz w:val="20"/>
          <w:szCs w:val="20"/>
        </w:rPr>
        <w:t xml:space="preserve"> </w:t>
      </w:r>
    </w:p>
    <w:p w14:paraId="2BE002A7" w14:textId="65C43F3C" w:rsidR="00BC526A" w:rsidRDefault="00BC526A">
      <w:pPr>
        <w:pBdr>
          <w:top w:val="nil"/>
          <w:left w:val="nil"/>
          <w:bottom w:val="nil"/>
          <w:right w:val="nil"/>
          <w:between w:val="nil"/>
        </w:pBdr>
        <w:spacing w:line="240" w:lineRule="auto"/>
        <w:ind w:left="720"/>
        <w:rPr>
          <w:color w:val="000000"/>
          <w:sz w:val="20"/>
          <w:szCs w:val="20"/>
        </w:rPr>
      </w:pPr>
    </w:p>
    <w:p w14:paraId="5D8A256D" w14:textId="77777777" w:rsidR="00BC526A" w:rsidRDefault="00BC526A" w:rsidP="00BC526A">
      <w:pPr>
        <w:pBdr>
          <w:top w:val="nil"/>
          <w:left w:val="nil"/>
          <w:bottom w:val="nil"/>
          <w:right w:val="nil"/>
          <w:between w:val="nil"/>
        </w:pBdr>
        <w:spacing w:line="240" w:lineRule="auto"/>
        <w:rPr>
          <w:color w:val="000000"/>
          <w:sz w:val="20"/>
          <w:szCs w:val="20"/>
        </w:rPr>
      </w:pPr>
      <w:r w:rsidRPr="00BC526A">
        <w:rPr>
          <w:b/>
          <w:bCs/>
          <w:color w:val="000000"/>
          <w:sz w:val="20"/>
          <w:szCs w:val="20"/>
        </w:rPr>
        <w:t>LINK NOTICIA:</w:t>
      </w:r>
      <w:r>
        <w:rPr>
          <w:color w:val="000000"/>
          <w:sz w:val="20"/>
          <w:szCs w:val="20"/>
        </w:rPr>
        <w:t xml:space="preserve"> </w:t>
      </w:r>
    </w:p>
    <w:p w14:paraId="34BABDEF" w14:textId="035739E6" w:rsidR="00BC526A" w:rsidRDefault="00BC526A" w:rsidP="00BC526A">
      <w:pPr>
        <w:pBdr>
          <w:top w:val="nil"/>
          <w:left w:val="nil"/>
          <w:bottom w:val="nil"/>
          <w:right w:val="nil"/>
          <w:between w:val="nil"/>
        </w:pBdr>
        <w:spacing w:line="240" w:lineRule="auto"/>
        <w:rPr>
          <w:color w:val="000000"/>
          <w:sz w:val="20"/>
          <w:szCs w:val="20"/>
        </w:rPr>
      </w:pPr>
      <w:hyperlink r:id="rId9" w:history="1">
        <w:r w:rsidRPr="00FE6D7E">
          <w:rPr>
            <w:rStyle w:val="Hipervnculo"/>
            <w:sz w:val="20"/>
            <w:szCs w:val="20"/>
          </w:rPr>
          <w:t>https://chaocarbon.cl/campana/mr-aes-gener-en-chile/</w:t>
        </w:r>
      </w:hyperlink>
    </w:p>
    <w:p w14:paraId="56315B10" w14:textId="77777777" w:rsidR="00BC526A" w:rsidRDefault="00BC526A" w:rsidP="00BC526A">
      <w:pPr>
        <w:pBdr>
          <w:top w:val="nil"/>
          <w:left w:val="nil"/>
          <w:bottom w:val="nil"/>
          <w:right w:val="nil"/>
          <w:between w:val="nil"/>
        </w:pBdr>
        <w:spacing w:line="240" w:lineRule="auto"/>
        <w:rPr>
          <w:color w:val="000000"/>
          <w:sz w:val="20"/>
          <w:szCs w:val="20"/>
        </w:rPr>
      </w:pPr>
    </w:p>
    <w:p w14:paraId="4F151B43" w14:textId="77777777" w:rsidR="00BC526A" w:rsidRDefault="00BC526A" w:rsidP="00BC526A">
      <w:pPr>
        <w:pBdr>
          <w:top w:val="nil"/>
          <w:left w:val="nil"/>
          <w:bottom w:val="nil"/>
          <w:right w:val="nil"/>
          <w:between w:val="nil"/>
        </w:pBdr>
        <w:spacing w:line="240" w:lineRule="auto"/>
        <w:rPr>
          <w:b/>
          <w:bCs/>
          <w:color w:val="000000"/>
          <w:sz w:val="20"/>
          <w:szCs w:val="20"/>
        </w:rPr>
      </w:pPr>
      <w:r w:rsidRPr="00BC526A">
        <w:rPr>
          <w:b/>
          <w:bCs/>
          <w:color w:val="000000"/>
          <w:sz w:val="20"/>
          <w:szCs w:val="20"/>
        </w:rPr>
        <w:t>VIDEOS EN:</w:t>
      </w:r>
    </w:p>
    <w:p w14:paraId="37B81019" w14:textId="77C3BA99" w:rsidR="00BC526A" w:rsidRDefault="00BC526A" w:rsidP="00BC526A">
      <w:pPr>
        <w:pBdr>
          <w:top w:val="nil"/>
          <w:left w:val="nil"/>
          <w:bottom w:val="nil"/>
          <w:right w:val="nil"/>
          <w:between w:val="nil"/>
        </w:pBdr>
        <w:spacing w:line="240" w:lineRule="auto"/>
        <w:rPr>
          <w:b/>
          <w:bCs/>
          <w:color w:val="000000"/>
          <w:sz w:val="20"/>
          <w:szCs w:val="20"/>
        </w:rPr>
      </w:pPr>
      <w:r>
        <w:rPr>
          <w:b/>
          <w:bCs/>
          <w:color w:val="000000"/>
          <w:sz w:val="20"/>
          <w:szCs w:val="20"/>
        </w:rPr>
        <w:t xml:space="preserve"> </w:t>
      </w:r>
      <w:hyperlink r:id="rId10" w:history="1">
        <w:r w:rsidRPr="00FE6D7E">
          <w:rPr>
            <w:rStyle w:val="Hipervnculo"/>
            <w:b/>
            <w:bCs/>
            <w:sz w:val="20"/>
            <w:szCs w:val="20"/>
          </w:rPr>
          <w:t>https://www.youtube.com/watch?v=Iw0jXMGdUNg&amp;feature=emb_title</w:t>
        </w:r>
      </w:hyperlink>
    </w:p>
    <w:p w14:paraId="2ADA6796" w14:textId="3D489B59" w:rsidR="00BC526A" w:rsidRDefault="00BC526A" w:rsidP="00BC526A">
      <w:pPr>
        <w:pBdr>
          <w:top w:val="nil"/>
          <w:left w:val="nil"/>
          <w:bottom w:val="nil"/>
          <w:right w:val="nil"/>
          <w:between w:val="nil"/>
        </w:pBdr>
        <w:spacing w:line="240" w:lineRule="auto"/>
        <w:rPr>
          <w:b/>
          <w:bCs/>
          <w:color w:val="000000"/>
          <w:sz w:val="20"/>
          <w:szCs w:val="20"/>
        </w:rPr>
      </w:pPr>
      <w:hyperlink r:id="rId11" w:history="1">
        <w:r w:rsidRPr="00FE6D7E">
          <w:rPr>
            <w:rStyle w:val="Hipervnculo"/>
            <w:b/>
            <w:bCs/>
            <w:sz w:val="20"/>
            <w:szCs w:val="20"/>
          </w:rPr>
          <w:t>https://www.youtube.com/watch?v=Iw0jXMGdUNg&amp;feature=emb_title</w:t>
        </w:r>
      </w:hyperlink>
    </w:p>
    <w:p w14:paraId="75DAB6F7" w14:textId="5C8735F6" w:rsidR="00A11853" w:rsidRPr="00BC526A" w:rsidRDefault="00BC526A" w:rsidP="00BC526A">
      <w:pPr>
        <w:pBdr>
          <w:top w:val="nil"/>
          <w:left w:val="nil"/>
          <w:bottom w:val="nil"/>
          <w:right w:val="nil"/>
          <w:between w:val="nil"/>
        </w:pBdr>
        <w:spacing w:line="240" w:lineRule="auto"/>
        <w:rPr>
          <w:b/>
          <w:bCs/>
          <w:color w:val="000000"/>
          <w:sz w:val="20"/>
          <w:szCs w:val="20"/>
        </w:rPr>
      </w:pPr>
      <w:hyperlink r:id="rId12" w:history="1">
        <w:r w:rsidRPr="00FE6D7E">
          <w:rPr>
            <w:rStyle w:val="Hipervnculo"/>
            <w:b/>
            <w:bCs/>
            <w:sz w:val="20"/>
            <w:szCs w:val="20"/>
          </w:rPr>
          <w:t>https://www.youtube.com/watch?v=wLXgpOQMbjY</w:t>
        </w:r>
      </w:hyperlink>
      <w:r w:rsidR="00D0473E">
        <w:tab/>
      </w:r>
    </w:p>
    <w:sectPr w:rsidR="00A11853" w:rsidRPr="00BC526A">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85CE4" w14:textId="77777777" w:rsidR="00D0473E" w:rsidRDefault="00D0473E">
      <w:pPr>
        <w:spacing w:after="0" w:line="240" w:lineRule="auto"/>
      </w:pPr>
      <w:r>
        <w:separator/>
      </w:r>
    </w:p>
  </w:endnote>
  <w:endnote w:type="continuationSeparator" w:id="0">
    <w:p w14:paraId="35F1346B" w14:textId="77777777" w:rsidR="00D0473E" w:rsidRDefault="00D0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209C" w14:textId="77777777" w:rsidR="00A11853" w:rsidRDefault="00D0473E">
    <w:pPr>
      <w:pBdr>
        <w:top w:val="nil"/>
        <w:left w:val="nil"/>
        <w:bottom w:val="nil"/>
        <w:right w:val="nil"/>
        <w:between w:val="nil"/>
      </w:pBdr>
      <w:tabs>
        <w:tab w:val="center" w:pos="4419"/>
        <w:tab w:val="right" w:pos="8838"/>
      </w:tabs>
      <w:spacing w:after="0" w:line="240" w:lineRule="auto"/>
      <w:jc w:val="right"/>
      <w:rPr>
        <w:color w:val="000000"/>
        <w:sz w:val="18"/>
        <w:szCs w:val="18"/>
      </w:rPr>
    </w:pPr>
    <w:r>
      <w:rPr>
        <w:b/>
        <w:color w:val="000000"/>
        <w:sz w:val="18"/>
        <w:szCs w:val="18"/>
      </w:rPr>
      <w:t>Contacto de Prensa:</w:t>
    </w:r>
    <w:r>
      <w:rPr>
        <w:color w:val="000000"/>
        <w:sz w:val="18"/>
        <w:szCs w:val="18"/>
      </w:rPr>
      <w:t xml:space="preserve"> Pía Vergara, periodista * +569 7909 3499 * </w:t>
    </w:r>
    <w:hyperlink r:id="rId1">
      <w:r>
        <w:rPr>
          <w:color w:val="0000FF"/>
          <w:sz w:val="18"/>
          <w:szCs w:val="18"/>
          <w:u w:val="single"/>
        </w:rPr>
        <w:t>piavergarar@gmail.com</w:t>
      </w:r>
    </w:hyperlink>
    <w:r>
      <w:rPr>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AF910" w14:textId="77777777" w:rsidR="00D0473E" w:rsidRDefault="00D0473E">
      <w:pPr>
        <w:spacing w:after="0" w:line="240" w:lineRule="auto"/>
      </w:pPr>
      <w:r>
        <w:separator/>
      </w:r>
    </w:p>
  </w:footnote>
  <w:footnote w:type="continuationSeparator" w:id="0">
    <w:p w14:paraId="1568FB0D" w14:textId="77777777" w:rsidR="00D0473E" w:rsidRDefault="00D04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14198" w14:textId="77777777" w:rsidR="00A11853" w:rsidRDefault="00D0473E">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114300" distB="114300" distL="114300" distR="114300" wp14:anchorId="0C45A63A" wp14:editId="6706B7B7">
          <wp:extent cx="1682646" cy="61245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2646" cy="612458"/>
                  </a:xfrm>
                  <a:prstGeom prst="rect">
                    <a:avLst/>
                  </a:prstGeom>
                  <a:ln/>
                </pic:spPr>
              </pic:pic>
            </a:graphicData>
          </a:graphic>
        </wp:inline>
      </w:drawing>
    </w:r>
  </w:p>
  <w:p w14:paraId="185E45A1" w14:textId="77777777" w:rsidR="00A11853" w:rsidRDefault="00A1185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22602"/>
    <w:multiLevelType w:val="multilevel"/>
    <w:tmpl w:val="A956C4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72E0B58"/>
    <w:multiLevelType w:val="multilevel"/>
    <w:tmpl w:val="A6442B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E12088A"/>
    <w:multiLevelType w:val="multilevel"/>
    <w:tmpl w:val="772E7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E231212"/>
    <w:multiLevelType w:val="multilevel"/>
    <w:tmpl w:val="D408C2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53"/>
    <w:rsid w:val="00A11853"/>
    <w:rsid w:val="00BC526A"/>
    <w:rsid w:val="00D047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756A340"/>
  <w15:docId w15:val="{6D20A4B0-538A-B049-837D-FCAE807F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61D7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61D7E"/>
    <w:rPr>
      <w:color w:val="0000FF"/>
      <w:u w:val="single"/>
    </w:rPr>
  </w:style>
  <w:style w:type="paragraph" w:styleId="Encabezado">
    <w:name w:val="header"/>
    <w:basedOn w:val="Normal"/>
    <w:link w:val="EncabezadoCar"/>
    <w:uiPriority w:val="99"/>
    <w:unhideWhenUsed/>
    <w:rsid w:val="00F61D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1D7E"/>
  </w:style>
  <w:style w:type="paragraph" w:styleId="Piedepgina">
    <w:name w:val="footer"/>
    <w:basedOn w:val="Normal"/>
    <w:link w:val="PiedepginaCar"/>
    <w:uiPriority w:val="99"/>
    <w:unhideWhenUsed/>
    <w:rsid w:val="00F61D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1D7E"/>
  </w:style>
  <w:style w:type="character" w:styleId="Mencinsinresolver">
    <w:name w:val="Unresolved Mention"/>
    <w:basedOn w:val="Fuentedeprrafopredeter"/>
    <w:uiPriority w:val="99"/>
    <w:semiHidden/>
    <w:unhideWhenUsed/>
    <w:rsid w:val="00F61D7E"/>
    <w:rPr>
      <w:color w:val="605E5C"/>
      <w:shd w:val="clear" w:color="auto" w:fill="E1DFDD"/>
    </w:rPr>
  </w:style>
  <w:style w:type="paragraph" w:styleId="Prrafodelista">
    <w:name w:val="List Paragraph"/>
    <w:basedOn w:val="Normal"/>
    <w:uiPriority w:val="34"/>
    <w:qFormat/>
    <w:rsid w:val="008D617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haocarbon.cl/petic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LXgpOQMbj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Iw0jXMGdUNg&amp;feature=emb_tit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Iw0jXMGdUNg&amp;feature=emb_title" TargetMode="External"/><Relationship Id="rId4" Type="http://schemas.openxmlformats.org/officeDocument/2006/relationships/settings" Target="settings.xml"/><Relationship Id="rId9" Type="http://schemas.openxmlformats.org/officeDocument/2006/relationships/hyperlink" Target="https://chaocarbon.cl/campana/mr-aes-gener-en-chil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iavergara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JhhmnPWKBATWO5Gev8lKc4IXpQ==">AMUW2mWPsMbIxDPT25qfHzA1CYLUUoYgbCDWKkfPgw2NFWGnPEZAf6UufowXCZj9+cfl2OQX4hQEmTiAgLSru/doPnVPvKUspkXQQAEZmhXFb1wUu/Cpn2E=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6749</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Pía Vergara</dc:creator>
  <cp:lastModifiedBy>Microsoft Office User</cp:lastModifiedBy>
  <cp:revision>2</cp:revision>
  <dcterms:created xsi:type="dcterms:W3CDTF">2022-02-08T15:45:00Z</dcterms:created>
  <dcterms:modified xsi:type="dcterms:W3CDTF">2022-02-08T15:45:00Z</dcterms:modified>
</cp:coreProperties>
</file>